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06" w:rsidRDefault="00587606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ЗА 201</w:t>
      </w:r>
      <w:r w:rsidR="00587606">
        <w:rPr>
          <w:rFonts w:ascii="Tahoma" w:hAnsi="Tahoma" w:cs="Tahoma"/>
          <w:sz w:val="22"/>
          <w:szCs w:val="22"/>
        </w:rPr>
        <w:t>8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BB292F" w:rsidRPr="00BB292F">
        <w:rPr>
          <w:rFonts w:ascii="Tahoma" w:hAnsi="Tahoma" w:cs="Tahoma"/>
          <w:sz w:val="20"/>
          <w:lang w:val="sr-Cyrl-CS"/>
        </w:rPr>
        <w:t xml:space="preserve">1. </w:t>
      </w:r>
      <w:r w:rsidR="00BB292F" w:rsidRPr="00BB292F">
        <w:rPr>
          <w:rFonts w:ascii="Tahoma" w:hAnsi="Tahoma" w:cs="Tahoma"/>
          <w:sz w:val="20"/>
        </w:rPr>
        <w:t xml:space="preserve">Унапређење безбедности рањивих учесника у саобраћају </w:t>
      </w:r>
      <w:r w:rsidR="00BB292F" w:rsidRPr="00BB292F">
        <w:rPr>
          <w:rFonts w:ascii="Tahoma" w:hAnsi="Tahoma" w:cs="Tahoma"/>
          <w:sz w:val="20"/>
          <w:lang w:val="sr-Cyrl-CS"/>
        </w:rPr>
        <w:t>- Едукације на тему значаја и правилне употребе дечијих аутоседишта</w:t>
      </w:r>
      <w:r w:rsidR="00BB292F" w:rsidRPr="00BB292F">
        <w:rPr>
          <w:rFonts w:ascii="Tahoma" w:hAnsi="Tahoma" w:cs="Tahoma"/>
          <w:sz w:val="20"/>
        </w:rPr>
        <w:t xml:space="preserve"> </w:t>
      </w:r>
      <w:r w:rsidR="00BB292F" w:rsidRPr="00BB292F">
        <w:rPr>
          <w:rFonts w:ascii="Tahoma" w:hAnsi="Tahoma" w:cs="Tahoma"/>
          <w:sz w:val="20"/>
          <w:lang w:val="sr-Cyrl-CS"/>
        </w:rPr>
        <w:t xml:space="preserve">(циљна група новорођенчад и деца узраста до </w:t>
      </w:r>
      <w:r w:rsidR="00BB292F" w:rsidRPr="00BB292F">
        <w:rPr>
          <w:rFonts w:ascii="Tahoma" w:hAnsi="Tahoma" w:cs="Tahoma"/>
          <w:sz w:val="20"/>
        </w:rPr>
        <w:t>5</w:t>
      </w:r>
      <w:r w:rsidR="00BB292F" w:rsidRPr="00BB292F">
        <w:rPr>
          <w:rFonts w:ascii="Tahoma" w:hAnsi="Tahoma" w:cs="Tahoma"/>
          <w:sz w:val="20"/>
          <w:lang w:val="sr-Cyrl-CS"/>
        </w:rPr>
        <w:t xml:space="preserve"> године)</w:t>
      </w:r>
    </w:p>
    <w:p w:rsidR="00BB292F" w:rsidRPr="00BB292F" w:rsidRDefault="00BB292F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  <w:t>2. Подизање свести учесника у саобраћају о „Сигурној рекреацији“, односно безбедности бициклиста у саобраћају - Едукације на тему безбедног учествовања бициклиста у саобраћају и промоције бициклизма</w:t>
      </w:r>
    </w:p>
    <w:p w:rsidR="00BB292F" w:rsidRPr="00BB292F" w:rsidRDefault="00BB292F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  <w:t>3. Унапређење знања деце предшколског и школског узраста о безбедном понашању у саобраћају, односно постизање промене њиховог понашања у саобраћају - Едукације усмерена ка деци предшколског и школског узраста на тему унапређења безбедности саобраћаја</w:t>
      </w:r>
    </w:p>
    <w:p w:rsidR="00BB292F" w:rsidRPr="00BB292F" w:rsidRDefault="00BB292F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  <w:t>4. Унапређење знања возача трактора о безбедном понашању у саобраћају - Едукације намењене возачима трактора</w:t>
      </w:r>
      <w:r w:rsidRPr="00BB292F">
        <w:rPr>
          <w:rFonts w:ascii="Tahoma" w:hAnsi="Tahoma" w:cs="Tahoma"/>
          <w:b/>
          <w:sz w:val="20"/>
          <w:lang w:val="sr-Cyrl-CS"/>
        </w:rPr>
        <w:t>.</w:t>
      </w:r>
    </w:p>
    <w:p w:rsidR="00DC0AC7" w:rsidRPr="00BB292F" w:rsidRDefault="00DC0AC7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F46D3C" w:rsidRPr="00BB292F" w:rsidRDefault="00F46D3C" w:rsidP="00DC0AC7">
      <w:pPr>
        <w:ind w:right="-329"/>
        <w:rPr>
          <w:color w:val="FF0000"/>
          <w:lang w:val="sr-Cyrl-CS"/>
        </w:rPr>
      </w:pPr>
    </w:p>
    <w:p w:rsidR="0024384A" w:rsidRPr="00BB292F" w:rsidRDefault="0024384A" w:rsidP="00B70216">
      <w:pPr>
        <w:pStyle w:val="Application2"/>
        <w:rPr>
          <w:lang w:val="sr-Cyrl-CS"/>
        </w:rPr>
      </w:pPr>
    </w:p>
    <w:p w:rsidR="00DC0AC7" w:rsidRPr="00BB292F" w:rsidRDefault="00DC0AC7" w:rsidP="00B70216">
      <w:pPr>
        <w:pStyle w:val="Application2"/>
      </w:pPr>
      <w:r w:rsidRPr="00BB292F">
        <w:rPr>
          <w:color w:val="FF0000"/>
        </w:rPr>
        <w:t>1.</w:t>
      </w:r>
      <w:r w:rsidRPr="00BB292F">
        <w:t>ОСНОВНИ ПОДАЦИ О УДРУЖЕЊУ</w:t>
      </w:r>
    </w:p>
    <w:p w:rsidR="00DC0AC7" w:rsidRPr="00BB292F" w:rsidRDefault="00DC0AC7" w:rsidP="00B70216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587606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______ 201</w:t>
      </w:r>
      <w:r w:rsidR="00587606">
        <w:rPr>
          <w:rFonts w:ascii="Tahoma" w:hAnsi="Tahoma" w:cs="Tahoma"/>
          <w:noProof/>
          <w:spacing w:val="-2"/>
          <w:sz w:val="20"/>
        </w:rPr>
        <w:t>8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587606" w:rsidRDefault="00587606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</w:rPr>
      </w:pPr>
    </w:p>
    <w:p w:rsidR="00587606" w:rsidRDefault="00587606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</w:rPr>
      </w:pPr>
    </w:p>
    <w:p w:rsidR="00587606" w:rsidRDefault="00587606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</w:rPr>
      </w:pPr>
    </w:p>
    <w:p w:rsidR="00587606" w:rsidRPr="00587606" w:rsidRDefault="00587606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587606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587606">
        <w:rPr>
          <w:rFonts w:ascii="Tahoma" w:hAnsi="Tahoma" w:cs="Tahoma"/>
          <w:b/>
          <w:i/>
          <w:noProof/>
          <w:sz w:val="18"/>
          <w:szCs w:val="18"/>
        </w:rPr>
        <w:t>____</w:t>
      </w:r>
      <w:r w:rsidR="00587606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 201</w:t>
      </w:r>
      <w:r w:rsidR="00587606">
        <w:rPr>
          <w:rFonts w:ascii="Tahoma" w:hAnsi="Tahoma" w:cs="Tahoma"/>
          <w:b/>
          <w:i/>
          <w:noProof/>
          <w:sz w:val="18"/>
          <w:szCs w:val="18"/>
        </w:rPr>
        <w:t>8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lastRenderedPageBreak/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IV</w:t>
            </w: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793512" w:rsidRDefault="00793512" w:rsidP="00EF5A99">
      <w:pPr>
        <w:pStyle w:val="Application3"/>
      </w:pPr>
    </w:p>
    <w:p w:rsidR="00934FDB" w:rsidRPr="00BB292F" w:rsidRDefault="00934FDB" w:rsidP="00EF5A99">
      <w:pPr>
        <w:pStyle w:val="Application3"/>
      </w:pPr>
    </w:p>
    <w:p w:rsidR="009273E8" w:rsidRDefault="009273E8" w:rsidP="00EF5A99">
      <w:pPr>
        <w:pStyle w:val="Application3"/>
      </w:pPr>
    </w:p>
    <w:p w:rsidR="004F5795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lastRenderedPageBreak/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7F6BE2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2"/>
          <w:szCs w:val="22"/>
          <w:lang w:val="sr-Cyrl-CS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en-US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B70216">
      <w:pPr>
        <w:pStyle w:val="Application2"/>
      </w:pPr>
      <w:r w:rsidRPr="00BB292F">
        <w:rPr>
          <w:lang w:val="sr-Cyrl-CS"/>
        </w:rPr>
        <w:lastRenderedPageBreak/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B70216">
      <w:pPr>
        <w:pStyle w:val="Application2"/>
      </w:pPr>
    </w:p>
    <w:p w:rsidR="007E4705" w:rsidRPr="00BB292F" w:rsidRDefault="00AD26EC" w:rsidP="00B70216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Pr="00BB292F" w:rsidRDefault="007E4705" w:rsidP="00B70216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BB292F" w:rsidRDefault="007E4705" w:rsidP="00B70216">
      <w:pPr>
        <w:pStyle w:val="Application2"/>
      </w:pPr>
    </w:p>
    <w:p w:rsidR="007E4705" w:rsidRPr="00BB292F" w:rsidRDefault="007E4705" w:rsidP="00B70216">
      <w:pPr>
        <w:pStyle w:val="Application2"/>
      </w:pPr>
      <w:r w:rsidRPr="00BB292F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B70216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B70216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B70216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</w:p>
        </w:tc>
      </w:tr>
    </w:tbl>
    <w:p w:rsidR="007E4705" w:rsidRPr="00BB292F" w:rsidRDefault="007E4705" w:rsidP="00B70216">
      <w:pPr>
        <w:pStyle w:val="Application2"/>
      </w:pPr>
    </w:p>
    <w:p w:rsidR="007E4705" w:rsidRPr="00BB292F" w:rsidRDefault="007E4705" w:rsidP="00B70216">
      <w:pPr>
        <w:pStyle w:val="Application2"/>
        <w:rPr>
          <w:lang w:val="sr-Cyrl-CS"/>
        </w:rPr>
      </w:pPr>
    </w:p>
    <w:p w:rsidR="0068008D" w:rsidRDefault="0068008D" w:rsidP="00B70216">
      <w:pPr>
        <w:pStyle w:val="Application2"/>
        <w:rPr>
          <w:lang w:val="sr-Cyrl-CS"/>
        </w:rPr>
      </w:pPr>
    </w:p>
    <w:p w:rsidR="00B70216" w:rsidRDefault="00B70216" w:rsidP="00B70216">
      <w:pPr>
        <w:pStyle w:val="Application2"/>
        <w:rPr>
          <w:lang w:val="sr-Cyrl-CS"/>
        </w:rPr>
      </w:pPr>
    </w:p>
    <w:p w:rsidR="00B70216" w:rsidRDefault="00B70216" w:rsidP="00B70216">
      <w:pPr>
        <w:pStyle w:val="Application2"/>
        <w:rPr>
          <w:lang w:val="sr-Cyrl-CS"/>
        </w:rPr>
      </w:pPr>
    </w:p>
    <w:p w:rsidR="00B70216" w:rsidRDefault="00B70216" w:rsidP="00B70216">
      <w:pPr>
        <w:pStyle w:val="Application2"/>
        <w:rPr>
          <w:lang w:val="sr-Cyrl-CS"/>
        </w:rPr>
      </w:pPr>
    </w:p>
    <w:p w:rsidR="00B70216" w:rsidRDefault="00B70216" w:rsidP="00B70216">
      <w:pPr>
        <w:pStyle w:val="Application2"/>
        <w:rPr>
          <w:lang w:val="sr-Cyrl-CS"/>
        </w:rPr>
      </w:pPr>
    </w:p>
    <w:p w:rsidR="00B70216" w:rsidRPr="00BB292F" w:rsidRDefault="00B70216" w:rsidP="00B70216">
      <w:pPr>
        <w:pStyle w:val="Application2"/>
        <w:rPr>
          <w:lang w:val="sr-Cyrl-CS"/>
        </w:rPr>
      </w:pPr>
    </w:p>
    <w:p w:rsidR="007E4705" w:rsidRPr="00BB292F" w:rsidRDefault="007E4705" w:rsidP="00B70216">
      <w:pPr>
        <w:pStyle w:val="Application2"/>
      </w:pPr>
    </w:p>
    <w:p w:rsidR="007E4705" w:rsidRDefault="007E4705" w:rsidP="00B70216">
      <w:pPr>
        <w:pStyle w:val="Application2"/>
        <w:rPr>
          <w:lang w:val="sr-Cyrl-CS"/>
        </w:rPr>
      </w:pPr>
      <w:r w:rsidRPr="00BB292F">
        <w:lastRenderedPageBreak/>
        <w:t>Табела 2 (преглед предлога буџета по ставкама):</w:t>
      </w:r>
    </w:p>
    <w:p w:rsidR="00B70216" w:rsidRPr="00B70216" w:rsidRDefault="00B70216" w:rsidP="00B70216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  <w:p w:rsidR="007E4705" w:rsidRPr="00BB292F" w:rsidRDefault="007E4705" w:rsidP="00B70216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  <w:p w:rsidR="007E4705" w:rsidRPr="00BB292F" w:rsidRDefault="007E4705" w:rsidP="00B70216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  <w:p w:rsidR="007E4705" w:rsidRPr="00BB292F" w:rsidRDefault="007E4705" w:rsidP="00B70216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  <w:p w:rsidR="007E4705" w:rsidRPr="00BB292F" w:rsidRDefault="007E4705" w:rsidP="00B70216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  <w:p w:rsidR="007E4705" w:rsidRPr="00BB292F" w:rsidRDefault="007E4705" w:rsidP="00B70216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B70216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B70216">
            <w:pPr>
              <w:pStyle w:val="Application2"/>
            </w:pPr>
            <w:r w:rsidRPr="00BB292F"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B70216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>У Младеновцу ______ 201</w:t>
      </w:r>
      <w:r w:rsidR="00587606">
        <w:rPr>
          <w:rFonts w:ascii="Tahoma" w:hAnsi="Tahoma" w:cs="Tahoma"/>
          <w:noProof/>
          <w:spacing w:val="-2"/>
          <w:sz w:val="20"/>
        </w:rPr>
        <w:t>8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B70216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 ______ 201</w:t>
      </w:r>
      <w:r w:rsidR="00587606">
        <w:rPr>
          <w:rFonts w:ascii="Tahoma" w:hAnsi="Tahoma" w:cs="Tahoma"/>
          <w:noProof/>
          <w:spacing w:val="-2"/>
          <w:sz w:val="20"/>
        </w:rPr>
        <w:t>8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3F55"/>
    <w:rsid w:val="000D4091"/>
    <w:rsid w:val="000D6F7B"/>
    <w:rsid w:val="000D7BA1"/>
    <w:rsid w:val="000F3F62"/>
    <w:rsid w:val="00140DD5"/>
    <w:rsid w:val="00164C17"/>
    <w:rsid w:val="0016554F"/>
    <w:rsid w:val="001F6221"/>
    <w:rsid w:val="00235921"/>
    <w:rsid w:val="00241C7C"/>
    <w:rsid w:val="0024384A"/>
    <w:rsid w:val="00265D4F"/>
    <w:rsid w:val="00272F95"/>
    <w:rsid w:val="00295FFC"/>
    <w:rsid w:val="002A1C65"/>
    <w:rsid w:val="002B3E0F"/>
    <w:rsid w:val="002C59DC"/>
    <w:rsid w:val="002D1838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33DA0"/>
    <w:rsid w:val="00546437"/>
    <w:rsid w:val="00556FEF"/>
    <w:rsid w:val="0057241C"/>
    <w:rsid w:val="00587606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906D89"/>
    <w:rsid w:val="00912022"/>
    <w:rsid w:val="009273E8"/>
    <w:rsid w:val="00934FDB"/>
    <w:rsid w:val="009742B7"/>
    <w:rsid w:val="009773D9"/>
    <w:rsid w:val="0098007A"/>
    <w:rsid w:val="009B7764"/>
    <w:rsid w:val="009D57FC"/>
    <w:rsid w:val="009F5F53"/>
    <w:rsid w:val="00A00AEF"/>
    <w:rsid w:val="00A2314A"/>
    <w:rsid w:val="00A502A7"/>
    <w:rsid w:val="00A506B0"/>
    <w:rsid w:val="00A56D47"/>
    <w:rsid w:val="00A62342"/>
    <w:rsid w:val="00A64F28"/>
    <w:rsid w:val="00AC6912"/>
    <w:rsid w:val="00AD26EC"/>
    <w:rsid w:val="00AF7E07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11BBF"/>
    <w:rsid w:val="00D27081"/>
    <w:rsid w:val="00D81DD1"/>
    <w:rsid w:val="00DA57E2"/>
    <w:rsid w:val="00DB040F"/>
    <w:rsid w:val="00DC0AC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B70216"/>
    <w:pPr>
      <w:widowControl w:val="0"/>
      <w:suppressAutoHyphens/>
      <w:spacing w:line="276" w:lineRule="auto"/>
      <w:ind w:right="-45"/>
      <w:jc w:val="both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D2F5-C6E8-4378-A12F-23CBF9D1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138</cp:revision>
  <cp:lastPrinted>2015-04-24T06:59:00Z</cp:lastPrinted>
  <dcterms:created xsi:type="dcterms:W3CDTF">2015-04-14T06:06:00Z</dcterms:created>
  <dcterms:modified xsi:type="dcterms:W3CDTF">2018-04-25T12:23:00Z</dcterms:modified>
</cp:coreProperties>
</file>